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244A7" w14:textId="77777777" w:rsidR="00C3166C" w:rsidRPr="00C3166C" w:rsidRDefault="00C3166C" w:rsidP="00C3166C">
      <w:pPr>
        <w:spacing w:after="160"/>
        <w:jc w:val="center"/>
        <w:rPr>
          <w:rFonts w:ascii="Times New Roman" w:eastAsia="Times New Roman" w:hAnsi="Times New Roman" w:cs="Times New Roman"/>
          <w:kern w:val="0"/>
          <w14:ligatures w14:val="none"/>
        </w:rPr>
      </w:pPr>
      <w:r w:rsidRPr="00C3166C">
        <w:rPr>
          <w:rFonts w:ascii="Calibri" w:eastAsia="Times New Roman" w:hAnsi="Calibri" w:cs="Calibri"/>
          <w:color w:val="000000"/>
          <w:kern w:val="0"/>
          <w:sz w:val="36"/>
          <w:szCs w:val="36"/>
          <w14:ligatures w14:val="none"/>
        </w:rPr>
        <w:t>Architect Control Committee</w:t>
      </w:r>
    </w:p>
    <w:p w14:paraId="6690B9BF" w14:textId="77777777" w:rsidR="00C3166C" w:rsidRPr="00C3166C" w:rsidRDefault="00C3166C" w:rsidP="00C3166C">
      <w:pPr>
        <w:spacing w:after="160"/>
        <w:jc w:val="center"/>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Harbor Point Owners Association</w:t>
      </w:r>
    </w:p>
    <w:p w14:paraId="5932B09F" w14:textId="77777777" w:rsidR="00C3166C" w:rsidRPr="00C3166C" w:rsidRDefault="00C3166C" w:rsidP="00C3166C">
      <w:pPr>
        <w:spacing w:after="160"/>
        <w:jc w:val="center"/>
        <w:rPr>
          <w:rFonts w:ascii="Times New Roman" w:eastAsia="Times New Roman" w:hAnsi="Times New Roman" w:cs="Times New Roman"/>
          <w:kern w:val="0"/>
          <w14:ligatures w14:val="none"/>
        </w:rPr>
      </w:pPr>
      <w:r w:rsidRPr="00C3166C">
        <w:rPr>
          <w:rFonts w:ascii="Calibri" w:eastAsia="Times New Roman" w:hAnsi="Calibri" w:cs="Calibri"/>
          <w:color w:val="000000"/>
          <w:kern w:val="0"/>
          <w:sz w:val="20"/>
          <w:szCs w:val="20"/>
          <w14:ligatures w14:val="none"/>
        </w:rPr>
        <w:t>3381 Starboard Drive, May TX. 76857        1-325-784-9240</w:t>
      </w:r>
    </w:p>
    <w:p w14:paraId="08AEB49C" w14:textId="77777777" w:rsidR="00C3166C" w:rsidRPr="00C3166C" w:rsidRDefault="00C3166C" w:rsidP="00C3166C">
      <w:pPr>
        <w:spacing w:after="160"/>
        <w:jc w:val="center"/>
        <w:rPr>
          <w:rFonts w:ascii="Times New Roman" w:eastAsia="Times New Roman" w:hAnsi="Times New Roman" w:cs="Times New Roman"/>
          <w:kern w:val="0"/>
          <w14:ligatures w14:val="none"/>
        </w:rPr>
      </w:pPr>
      <w:r w:rsidRPr="00C3166C">
        <w:rPr>
          <w:rFonts w:ascii="Calibri" w:eastAsia="Times New Roman" w:hAnsi="Calibri" w:cs="Calibri"/>
          <w:color w:val="000000"/>
          <w:kern w:val="0"/>
          <w:sz w:val="20"/>
          <w:szCs w:val="20"/>
          <w14:ligatures w14:val="none"/>
        </w:rPr>
        <w:t>HarborPointOwnersAssociation.net</w:t>
      </w:r>
      <w:r w:rsidRPr="00C3166C">
        <w:rPr>
          <w:rFonts w:ascii="Calibri" w:eastAsia="Times New Roman" w:hAnsi="Calibri" w:cs="Calibri"/>
          <w:color w:val="000000"/>
          <w:kern w:val="0"/>
          <w:sz w:val="20"/>
          <w:szCs w:val="20"/>
          <w14:ligatures w14:val="none"/>
        </w:rPr>
        <w:tab/>
        <w:t>        harborpoint-acc@outlook.com</w:t>
      </w:r>
    </w:p>
    <w:p w14:paraId="315366EA" w14:textId="77777777" w:rsidR="00C3166C" w:rsidRPr="00C3166C" w:rsidRDefault="00C3166C" w:rsidP="00C3166C">
      <w:pPr>
        <w:spacing w:after="160"/>
        <w:jc w:val="center"/>
        <w:rPr>
          <w:rFonts w:ascii="Times New Roman" w:eastAsia="Times New Roman" w:hAnsi="Times New Roman" w:cs="Times New Roman"/>
          <w:kern w:val="0"/>
          <w14:ligatures w14:val="none"/>
        </w:rPr>
      </w:pPr>
      <w:r w:rsidRPr="00C3166C">
        <w:rPr>
          <w:rFonts w:ascii="Calibri" w:eastAsia="Times New Roman" w:hAnsi="Calibri" w:cs="Calibri"/>
          <w:color w:val="000000"/>
          <w:kern w:val="0"/>
          <w:sz w:val="20"/>
          <w:szCs w:val="20"/>
          <w14:ligatures w14:val="none"/>
        </w:rPr>
        <w:t>____________________________________________________________________________________________</w:t>
      </w:r>
    </w:p>
    <w:p w14:paraId="679FF938" w14:textId="77777777" w:rsidR="00C3166C" w:rsidRPr="00C3166C" w:rsidRDefault="00C3166C" w:rsidP="00C3166C">
      <w:pPr>
        <w:rPr>
          <w:rFonts w:ascii="Times New Roman" w:eastAsia="Times New Roman" w:hAnsi="Times New Roman" w:cs="Times New Roman"/>
          <w:kern w:val="0"/>
          <w14:ligatures w14:val="none"/>
        </w:rPr>
      </w:pPr>
    </w:p>
    <w:p w14:paraId="7F28CDDB"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sz w:val="28"/>
          <w:szCs w:val="28"/>
          <w:u w:val="single"/>
          <w14:ligatures w14:val="none"/>
        </w:rPr>
        <w:t>HPOA Restriction Variance for Metal Containers commonly referred to as “Conex”</w:t>
      </w:r>
    </w:p>
    <w:p w14:paraId="5B6E35B4" w14:textId="77777777" w:rsidR="00C3166C" w:rsidRPr="00C3166C" w:rsidRDefault="00C3166C" w:rsidP="00C3166C">
      <w:pPr>
        <w:rPr>
          <w:rFonts w:ascii="Times New Roman" w:eastAsia="Times New Roman" w:hAnsi="Times New Roman" w:cs="Times New Roman"/>
          <w:kern w:val="0"/>
          <w14:ligatures w14:val="none"/>
        </w:rPr>
      </w:pPr>
    </w:p>
    <w:p w14:paraId="2E0F3101"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 xml:space="preserve">The following, outlines the specifications for a variance to HPOA Restrictions, allowing for the use of Conex storage containers in Harbor Point Subdivision. These specifications are to be the minimum standard modifications required for this variance. </w:t>
      </w:r>
      <w:r w:rsidRPr="00C3166C">
        <w:rPr>
          <w:rFonts w:ascii="Calibri" w:eastAsia="Times New Roman" w:hAnsi="Calibri" w:cs="Calibri"/>
          <w:b/>
          <w:bCs/>
          <w:i/>
          <w:iCs/>
          <w:color w:val="000000"/>
          <w:kern w:val="0"/>
          <w14:ligatures w14:val="none"/>
        </w:rPr>
        <w:t>All requests for this variance require an Application for Property Alteration and must be submitted to and approved by the Architect Control Committee (ACC) prior to proceeding.</w:t>
      </w:r>
      <w:r w:rsidRPr="00C3166C">
        <w:rPr>
          <w:rFonts w:ascii="Calibri" w:eastAsia="Times New Roman" w:hAnsi="Calibri" w:cs="Calibri"/>
          <w:color w:val="000000"/>
          <w:kern w:val="0"/>
          <w14:ligatures w14:val="none"/>
        </w:rPr>
        <w:t xml:space="preserve"> The requestor must provide with the application, 1) this variance request, 2) a diagram specific to the lot specifying the </w:t>
      </w:r>
      <w:proofErr w:type="spellStart"/>
      <w:r w:rsidRPr="00C3166C">
        <w:rPr>
          <w:rFonts w:ascii="Calibri" w:eastAsia="Times New Roman" w:hAnsi="Calibri" w:cs="Calibri"/>
          <w:color w:val="000000"/>
          <w:kern w:val="0"/>
          <w14:ligatures w14:val="none"/>
        </w:rPr>
        <w:t>conex</w:t>
      </w:r>
      <w:proofErr w:type="spellEnd"/>
      <w:r w:rsidRPr="00C3166C">
        <w:rPr>
          <w:rFonts w:ascii="Calibri" w:eastAsia="Times New Roman" w:hAnsi="Calibri" w:cs="Calibri"/>
          <w:color w:val="000000"/>
          <w:kern w:val="0"/>
          <w14:ligatures w14:val="none"/>
        </w:rPr>
        <w:t xml:space="preserve"> location on the </w:t>
      </w:r>
      <w:proofErr w:type="gramStart"/>
      <w:r w:rsidRPr="00C3166C">
        <w:rPr>
          <w:rFonts w:ascii="Calibri" w:eastAsia="Times New Roman" w:hAnsi="Calibri" w:cs="Calibri"/>
          <w:color w:val="000000"/>
          <w:kern w:val="0"/>
          <w14:ligatures w14:val="none"/>
        </w:rPr>
        <w:t>lot ,</w:t>
      </w:r>
      <w:proofErr w:type="gramEnd"/>
      <w:r w:rsidRPr="00C3166C">
        <w:rPr>
          <w:rFonts w:ascii="Calibri" w:eastAsia="Times New Roman" w:hAnsi="Calibri" w:cs="Calibri"/>
          <w:color w:val="000000"/>
          <w:kern w:val="0"/>
          <w14:ligatures w14:val="none"/>
        </w:rPr>
        <w:t xml:space="preserve"> 3) pictures of the </w:t>
      </w:r>
      <w:proofErr w:type="spellStart"/>
      <w:r w:rsidRPr="00C3166C">
        <w:rPr>
          <w:rFonts w:ascii="Calibri" w:eastAsia="Times New Roman" w:hAnsi="Calibri" w:cs="Calibri"/>
          <w:color w:val="000000"/>
          <w:kern w:val="0"/>
          <w14:ligatures w14:val="none"/>
        </w:rPr>
        <w:t>conex</w:t>
      </w:r>
      <w:proofErr w:type="spellEnd"/>
      <w:r w:rsidRPr="00C3166C">
        <w:rPr>
          <w:rFonts w:ascii="Calibri" w:eastAsia="Times New Roman" w:hAnsi="Calibri" w:cs="Calibri"/>
          <w:color w:val="000000"/>
          <w:kern w:val="0"/>
          <w14:ligatures w14:val="none"/>
        </w:rPr>
        <w:t xml:space="preserve"> showing the condition of the structure. After the ACC has Reviewed, Approved, and Notice to Proceed is given, if all required modifications are not completed complying with the outlined specifications within 6 months after the </w:t>
      </w:r>
      <w:proofErr w:type="spellStart"/>
      <w:r w:rsidRPr="00C3166C">
        <w:rPr>
          <w:rFonts w:ascii="Calibri" w:eastAsia="Times New Roman" w:hAnsi="Calibri" w:cs="Calibri"/>
          <w:color w:val="000000"/>
          <w:kern w:val="0"/>
          <w14:ligatures w14:val="none"/>
        </w:rPr>
        <w:t>conex</w:t>
      </w:r>
      <w:proofErr w:type="spellEnd"/>
      <w:r w:rsidRPr="00C3166C">
        <w:rPr>
          <w:rFonts w:ascii="Calibri" w:eastAsia="Times New Roman" w:hAnsi="Calibri" w:cs="Calibri"/>
          <w:color w:val="000000"/>
          <w:kern w:val="0"/>
          <w14:ligatures w14:val="none"/>
        </w:rPr>
        <w:t xml:space="preserve"> has been brought into the subdivision, the applicant shall be in violation of HPOA Restrictions.</w:t>
      </w:r>
    </w:p>
    <w:p w14:paraId="17D7BB72" w14:textId="77777777" w:rsidR="00C3166C" w:rsidRPr="00C3166C" w:rsidRDefault="00C3166C" w:rsidP="00C3166C">
      <w:pPr>
        <w:rPr>
          <w:rFonts w:ascii="Times New Roman" w:eastAsia="Times New Roman" w:hAnsi="Times New Roman" w:cs="Times New Roman"/>
          <w:kern w:val="0"/>
          <w14:ligatures w14:val="none"/>
        </w:rPr>
      </w:pPr>
    </w:p>
    <w:p w14:paraId="4A3ED436" w14:textId="77777777" w:rsidR="00C3166C" w:rsidRPr="00C3166C" w:rsidRDefault="00C3166C" w:rsidP="00C3166C">
      <w:pPr>
        <w:spacing w:after="160"/>
        <w:jc w:val="center"/>
        <w:rPr>
          <w:rFonts w:ascii="Times New Roman" w:eastAsia="Times New Roman" w:hAnsi="Times New Roman" w:cs="Times New Roman"/>
          <w:kern w:val="0"/>
          <w14:ligatures w14:val="none"/>
        </w:rPr>
      </w:pPr>
      <w:r w:rsidRPr="00C3166C">
        <w:rPr>
          <w:rFonts w:ascii="Calibri" w:eastAsia="Times New Roman" w:hAnsi="Calibri" w:cs="Calibri"/>
          <w:b/>
          <w:bCs/>
          <w:color w:val="000000"/>
          <w:kern w:val="0"/>
          <w:sz w:val="28"/>
          <w:szCs w:val="28"/>
          <w:u w:val="single"/>
          <w14:ligatures w14:val="none"/>
        </w:rPr>
        <w:t>The following specifications apply to a new or used container</w:t>
      </w:r>
    </w:p>
    <w:p w14:paraId="6760069D" w14:textId="77777777" w:rsidR="00C3166C" w:rsidRPr="00C3166C" w:rsidRDefault="00C3166C" w:rsidP="00C3166C">
      <w:pPr>
        <w:rPr>
          <w:rFonts w:ascii="Times New Roman" w:eastAsia="Times New Roman" w:hAnsi="Times New Roman" w:cs="Times New Roman"/>
          <w:kern w:val="0"/>
          <w14:ligatures w14:val="none"/>
        </w:rPr>
      </w:pPr>
      <w:r w:rsidRPr="00C3166C">
        <w:rPr>
          <w:rFonts w:ascii="Times New Roman" w:eastAsia="Times New Roman" w:hAnsi="Times New Roman" w:cs="Times New Roman"/>
          <w:kern w:val="0"/>
          <w14:ligatures w14:val="none"/>
        </w:rPr>
        <w:br/>
      </w:r>
    </w:p>
    <w:p w14:paraId="69EA9D8F" w14:textId="77777777" w:rsidR="00C3166C" w:rsidRPr="00C3166C" w:rsidRDefault="00C3166C" w:rsidP="00C3166C">
      <w:pPr>
        <w:numPr>
          <w:ilvl w:val="0"/>
          <w:numId w:val="1"/>
        </w:numPr>
        <w:textAlignment w:val="baseline"/>
        <w:rPr>
          <w:rFonts w:ascii="Calibri" w:eastAsia="Times New Roman" w:hAnsi="Calibri" w:cs="Calibri"/>
          <w:color w:val="000000"/>
          <w:kern w:val="0"/>
          <w14:ligatures w14:val="none"/>
        </w:rPr>
      </w:pPr>
      <w:r w:rsidRPr="00C3166C">
        <w:rPr>
          <w:rFonts w:ascii="Calibri" w:eastAsia="Times New Roman" w:hAnsi="Calibri" w:cs="Calibri"/>
          <w:color w:val="000000"/>
          <w:kern w:val="0"/>
          <w14:ligatures w14:val="none"/>
        </w:rPr>
        <w:t>Container will be newly painted with the appropriate metal paint, with no visible signs of rust or written signage of any type.</w:t>
      </w:r>
    </w:p>
    <w:p w14:paraId="68AB5FB2" w14:textId="77777777" w:rsidR="00C3166C" w:rsidRPr="00C3166C" w:rsidRDefault="00C3166C" w:rsidP="00C3166C">
      <w:pPr>
        <w:numPr>
          <w:ilvl w:val="0"/>
          <w:numId w:val="1"/>
        </w:numPr>
        <w:textAlignment w:val="baseline"/>
        <w:rPr>
          <w:rFonts w:ascii="Calibri" w:eastAsia="Times New Roman" w:hAnsi="Calibri" w:cs="Calibri"/>
          <w:color w:val="000000"/>
          <w:kern w:val="0"/>
          <w14:ligatures w14:val="none"/>
        </w:rPr>
      </w:pPr>
      <w:r w:rsidRPr="00C3166C">
        <w:rPr>
          <w:rFonts w:ascii="Calibri" w:eastAsia="Times New Roman" w:hAnsi="Calibri" w:cs="Calibri"/>
          <w:color w:val="000000"/>
          <w:kern w:val="0"/>
          <w14:ligatures w14:val="none"/>
        </w:rPr>
        <w:t>Container cannot have any dents or damage.</w:t>
      </w:r>
    </w:p>
    <w:p w14:paraId="11832D52" w14:textId="77777777" w:rsidR="00C3166C" w:rsidRPr="00C3166C" w:rsidRDefault="00C3166C" w:rsidP="00C3166C">
      <w:pPr>
        <w:numPr>
          <w:ilvl w:val="0"/>
          <w:numId w:val="1"/>
        </w:numPr>
        <w:textAlignment w:val="baseline"/>
        <w:rPr>
          <w:rFonts w:ascii="Calibri" w:eastAsia="Times New Roman" w:hAnsi="Calibri" w:cs="Calibri"/>
          <w:color w:val="000000"/>
          <w:kern w:val="0"/>
          <w14:ligatures w14:val="none"/>
        </w:rPr>
      </w:pPr>
      <w:r w:rsidRPr="00C3166C">
        <w:rPr>
          <w:rFonts w:ascii="Calibri" w:eastAsia="Times New Roman" w:hAnsi="Calibri" w:cs="Calibri"/>
          <w:color w:val="000000"/>
          <w:kern w:val="0"/>
          <w14:ligatures w14:val="none"/>
        </w:rPr>
        <w:t>A pitched roof with a minimum center height of 8”, sloping to 4” at the side wall, must be installed. Roof must be covered with metal, complete with trim of a color, the same as or complimentary to the color of the container and roof. The gable end walls must be enclosed and painted the same as or complimentary to the color of the container and roof. Eaves must be enclosed and painted the same as or complimentary to the color of the container and roof.</w:t>
      </w:r>
    </w:p>
    <w:p w14:paraId="706E6DB7" w14:textId="77777777" w:rsidR="00C3166C" w:rsidRPr="00C3166C" w:rsidRDefault="00C3166C" w:rsidP="00C3166C">
      <w:pPr>
        <w:numPr>
          <w:ilvl w:val="0"/>
          <w:numId w:val="1"/>
        </w:numPr>
        <w:spacing w:after="160"/>
        <w:textAlignment w:val="baseline"/>
        <w:rPr>
          <w:rFonts w:ascii="Calibri" w:eastAsia="Times New Roman" w:hAnsi="Calibri" w:cs="Calibri"/>
          <w:color w:val="000000"/>
          <w:kern w:val="0"/>
          <w14:ligatures w14:val="none"/>
        </w:rPr>
      </w:pPr>
      <w:r w:rsidRPr="00C3166C">
        <w:rPr>
          <w:rFonts w:ascii="Calibri" w:eastAsia="Times New Roman" w:hAnsi="Calibri" w:cs="Calibri"/>
          <w:color w:val="000000"/>
          <w:kern w:val="0"/>
          <w14:ligatures w14:val="none"/>
        </w:rPr>
        <w:t xml:space="preserve">Container must be levelled. If any part of the bottom of the </w:t>
      </w:r>
      <w:proofErr w:type="spellStart"/>
      <w:r w:rsidRPr="00C3166C">
        <w:rPr>
          <w:rFonts w:ascii="Calibri" w:eastAsia="Times New Roman" w:hAnsi="Calibri" w:cs="Calibri"/>
          <w:color w:val="000000"/>
          <w:kern w:val="0"/>
          <w14:ligatures w14:val="none"/>
        </w:rPr>
        <w:t>conex</w:t>
      </w:r>
      <w:proofErr w:type="spellEnd"/>
      <w:r w:rsidRPr="00C3166C">
        <w:rPr>
          <w:rFonts w:ascii="Calibri" w:eastAsia="Times New Roman" w:hAnsi="Calibri" w:cs="Calibri"/>
          <w:color w:val="000000"/>
          <w:kern w:val="0"/>
          <w14:ligatures w14:val="none"/>
        </w:rPr>
        <w:t xml:space="preserve"> is off the ground by 12 or more inches, the structure must be skirted to the ground with metal skirting, painted the same as or complimentary to the color of the container and roof.</w:t>
      </w:r>
    </w:p>
    <w:p w14:paraId="5773F7E5" w14:textId="77777777" w:rsidR="00C3166C" w:rsidRPr="00C3166C" w:rsidRDefault="00C3166C" w:rsidP="00C3166C">
      <w:pPr>
        <w:rPr>
          <w:rFonts w:ascii="Times New Roman" w:eastAsia="Times New Roman" w:hAnsi="Times New Roman" w:cs="Times New Roman"/>
          <w:kern w:val="0"/>
          <w14:ligatures w14:val="none"/>
        </w:rPr>
      </w:pPr>
    </w:p>
    <w:p w14:paraId="16F9F41F"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Metal roofing and metal skirting referred to above, be must same as or equal to industry standard, 26 gauge, “U” or “R” panel. No galvanized sheet metal is allowed. </w:t>
      </w:r>
    </w:p>
    <w:p w14:paraId="0E16FA45"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Storage of anything, at any time, on the roof of the structure, is strictly prohibited.</w:t>
      </w:r>
    </w:p>
    <w:p w14:paraId="228BD49A" w14:textId="77777777" w:rsidR="00C3166C" w:rsidRPr="00C3166C" w:rsidRDefault="00C3166C" w:rsidP="00C3166C">
      <w:pPr>
        <w:rPr>
          <w:rFonts w:ascii="Times New Roman" w:eastAsia="Times New Roman" w:hAnsi="Times New Roman" w:cs="Times New Roman"/>
          <w:kern w:val="0"/>
          <w14:ligatures w14:val="none"/>
        </w:rPr>
      </w:pPr>
    </w:p>
    <w:p w14:paraId="6967DFE0"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 xml:space="preserve">A refundable deposit of $5000.00 is required before the Application for Property Alteration will be approved. If all specifications are completed as approved, the deposit will be refunded. If the owner fails to comply with the terms approved in the </w:t>
      </w:r>
      <w:proofErr w:type="spellStart"/>
      <w:r w:rsidRPr="00C3166C">
        <w:rPr>
          <w:rFonts w:ascii="Calibri" w:eastAsia="Times New Roman" w:hAnsi="Calibri" w:cs="Calibri"/>
          <w:color w:val="000000"/>
          <w:kern w:val="0"/>
          <w14:ligatures w14:val="none"/>
        </w:rPr>
        <w:t>Appliction</w:t>
      </w:r>
      <w:proofErr w:type="spellEnd"/>
      <w:r w:rsidRPr="00C3166C">
        <w:rPr>
          <w:rFonts w:ascii="Calibri" w:eastAsia="Times New Roman" w:hAnsi="Calibri" w:cs="Calibri"/>
          <w:color w:val="000000"/>
          <w:kern w:val="0"/>
          <w14:ligatures w14:val="none"/>
        </w:rPr>
        <w:t xml:space="preserve"> for Property Alteration, this Variance, or other HPOA Restriction guidelines, the owner will be in violation. The deposit will be used to remedy the violation as the HPOA deems necessary. Remedies may include but are not limited to 1) court action, 2) hire as necessary workers to complete the required modifications to bring the </w:t>
      </w:r>
      <w:proofErr w:type="spellStart"/>
      <w:r w:rsidRPr="00C3166C">
        <w:rPr>
          <w:rFonts w:ascii="Calibri" w:eastAsia="Times New Roman" w:hAnsi="Calibri" w:cs="Calibri"/>
          <w:color w:val="000000"/>
          <w:kern w:val="0"/>
          <w14:ligatures w14:val="none"/>
        </w:rPr>
        <w:t>conex</w:t>
      </w:r>
      <w:proofErr w:type="spellEnd"/>
      <w:r w:rsidRPr="00C3166C">
        <w:rPr>
          <w:rFonts w:ascii="Calibri" w:eastAsia="Times New Roman" w:hAnsi="Calibri" w:cs="Calibri"/>
          <w:color w:val="000000"/>
          <w:kern w:val="0"/>
          <w14:ligatures w14:val="none"/>
        </w:rPr>
        <w:t xml:space="preserve"> into compliance. </w:t>
      </w:r>
    </w:p>
    <w:p w14:paraId="51047C99" w14:textId="77777777" w:rsidR="00C3166C" w:rsidRPr="00C3166C" w:rsidRDefault="00C3166C" w:rsidP="00C3166C">
      <w:pPr>
        <w:rPr>
          <w:rFonts w:ascii="Times New Roman" w:eastAsia="Times New Roman" w:hAnsi="Times New Roman" w:cs="Times New Roman"/>
          <w:kern w:val="0"/>
          <w14:ligatures w14:val="none"/>
        </w:rPr>
      </w:pPr>
    </w:p>
    <w:p w14:paraId="342CECD3"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Applicant has read and agrees to the conditions for this variance as listed.</w:t>
      </w:r>
    </w:p>
    <w:p w14:paraId="3A861C11" w14:textId="77777777" w:rsidR="00C3166C" w:rsidRPr="00C3166C" w:rsidRDefault="00C3166C" w:rsidP="00C3166C">
      <w:pPr>
        <w:spacing w:after="240"/>
        <w:rPr>
          <w:rFonts w:ascii="Times New Roman" w:eastAsia="Times New Roman" w:hAnsi="Times New Roman" w:cs="Times New Roman"/>
          <w:kern w:val="0"/>
          <w14:ligatures w14:val="none"/>
        </w:rPr>
      </w:pPr>
    </w:p>
    <w:p w14:paraId="45EF819B" w14:textId="77777777" w:rsidR="00C3166C" w:rsidRPr="00C3166C" w:rsidRDefault="00C3166C" w:rsidP="00C3166C">
      <w:pPr>
        <w:spacing w:after="160"/>
        <w:rPr>
          <w:rFonts w:ascii="Times New Roman" w:eastAsia="Times New Roman" w:hAnsi="Times New Roman" w:cs="Times New Roman"/>
          <w:kern w:val="0"/>
          <w14:ligatures w14:val="none"/>
        </w:rPr>
      </w:pPr>
      <w:r w:rsidRPr="00C3166C">
        <w:rPr>
          <w:rFonts w:ascii="Calibri" w:eastAsia="Times New Roman" w:hAnsi="Calibri" w:cs="Calibri"/>
          <w:color w:val="000000"/>
          <w:kern w:val="0"/>
          <w14:ligatures w14:val="none"/>
        </w:rPr>
        <w:t>_____________________________________</w:t>
      </w:r>
      <w:r w:rsidRPr="00C3166C">
        <w:rPr>
          <w:rFonts w:ascii="Calibri" w:eastAsia="Times New Roman" w:hAnsi="Calibri" w:cs="Calibri"/>
          <w:color w:val="000000"/>
          <w:kern w:val="0"/>
          <w14:ligatures w14:val="none"/>
        </w:rPr>
        <w:tab/>
      </w:r>
      <w:r w:rsidRPr="00C3166C">
        <w:rPr>
          <w:rFonts w:ascii="Calibri" w:eastAsia="Times New Roman" w:hAnsi="Calibri" w:cs="Calibri"/>
          <w:color w:val="000000"/>
          <w:kern w:val="0"/>
          <w14:ligatures w14:val="none"/>
        </w:rPr>
        <w:tab/>
        <w:t>__________________</w:t>
      </w:r>
    </w:p>
    <w:p w14:paraId="104BF173" w14:textId="77777777" w:rsidR="00C3166C" w:rsidRPr="00C3166C" w:rsidRDefault="00C3166C" w:rsidP="00C3166C">
      <w:pPr>
        <w:spacing w:after="160"/>
        <w:ind w:firstLine="720"/>
        <w:rPr>
          <w:rFonts w:ascii="Times New Roman" w:eastAsia="Times New Roman" w:hAnsi="Times New Roman" w:cs="Times New Roman"/>
          <w:kern w:val="0"/>
          <w14:ligatures w14:val="none"/>
        </w:rPr>
      </w:pPr>
      <w:r w:rsidRPr="00C3166C">
        <w:rPr>
          <w:rFonts w:ascii="Calibri" w:eastAsia="Times New Roman" w:hAnsi="Calibri" w:cs="Calibri"/>
          <w:color w:val="000000"/>
          <w:kern w:val="0"/>
          <w:sz w:val="20"/>
          <w:szCs w:val="20"/>
          <w14:ligatures w14:val="none"/>
        </w:rPr>
        <w:t xml:space="preserve">Signed </w:t>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r>
      <w:r w:rsidRPr="00C3166C">
        <w:rPr>
          <w:rFonts w:ascii="Calibri" w:eastAsia="Times New Roman" w:hAnsi="Calibri" w:cs="Calibri"/>
          <w:color w:val="000000"/>
          <w:kern w:val="0"/>
          <w:sz w:val="20"/>
          <w:szCs w:val="20"/>
          <w14:ligatures w14:val="none"/>
        </w:rPr>
        <w:tab/>
        <w:t>date</w:t>
      </w:r>
    </w:p>
    <w:p w14:paraId="4C7A8FF5" w14:textId="77777777" w:rsidR="00C3166C" w:rsidRPr="00C3166C" w:rsidRDefault="00C3166C" w:rsidP="00C3166C">
      <w:pPr>
        <w:spacing w:after="240"/>
        <w:rPr>
          <w:rFonts w:ascii="Times New Roman" w:eastAsia="Times New Roman" w:hAnsi="Times New Roman" w:cs="Times New Roman"/>
          <w:kern w:val="0"/>
          <w14:ligatures w14:val="none"/>
        </w:rPr>
      </w:pP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r w:rsidRPr="00C3166C">
        <w:rPr>
          <w:rFonts w:ascii="Times New Roman" w:eastAsia="Times New Roman" w:hAnsi="Times New Roman" w:cs="Times New Roman"/>
          <w:kern w:val="0"/>
          <w14:ligatures w14:val="none"/>
        </w:rPr>
        <w:br/>
      </w:r>
    </w:p>
    <w:p w14:paraId="14F19946" w14:textId="77777777" w:rsidR="00C3166C" w:rsidRPr="00C3166C" w:rsidRDefault="00C3166C" w:rsidP="00C3166C">
      <w:pPr>
        <w:spacing w:after="160"/>
        <w:rPr>
          <w:rFonts w:ascii="Times New Roman" w:eastAsia="Times New Roman" w:hAnsi="Times New Roman" w:cs="Times New Roman"/>
          <w:kern w:val="0"/>
          <w14:ligatures w14:val="none"/>
        </w:rPr>
      </w:pPr>
      <w:proofErr w:type="spellStart"/>
      <w:r w:rsidRPr="00C3166C">
        <w:rPr>
          <w:rFonts w:ascii="Calibri" w:eastAsia="Times New Roman" w:hAnsi="Calibri" w:cs="Calibri"/>
          <w:color w:val="000000"/>
          <w:kern w:val="0"/>
          <w14:ligatures w14:val="none"/>
        </w:rPr>
        <w:t>conex</w:t>
      </w:r>
      <w:proofErr w:type="spellEnd"/>
      <w:r w:rsidRPr="00C3166C">
        <w:rPr>
          <w:rFonts w:ascii="Calibri" w:eastAsia="Times New Roman" w:hAnsi="Calibri" w:cs="Calibri"/>
          <w:color w:val="000000"/>
          <w:kern w:val="0"/>
          <w14:ligatures w14:val="none"/>
        </w:rPr>
        <w:t xml:space="preserve"> doc 2.12.23</w:t>
      </w:r>
    </w:p>
    <w:p w14:paraId="1391E228" w14:textId="77777777" w:rsidR="00C3166C" w:rsidRPr="00C3166C" w:rsidRDefault="00C3166C" w:rsidP="00C3166C">
      <w:pPr>
        <w:rPr>
          <w:rFonts w:ascii="Times New Roman" w:eastAsia="Times New Roman" w:hAnsi="Times New Roman" w:cs="Times New Roman"/>
          <w:kern w:val="0"/>
          <w14:ligatures w14:val="none"/>
        </w:rPr>
      </w:pPr>
    </w:p>
    <w:p w14:paraId="34B6B439" w14:textId="77777777" w:rsidR="00B114CF" w:rsidRDefault="00B114CF"/>
    <w:sectPr w:rsidR="00B11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A5EF2"/>
    <w:multiLevelType w:val="multilevel"/>
    <w:tmpl w:val="825A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21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6C"/>
    <w:rsid w:val="003974AA"/>
    <w:rsid w:val="005B241B"/>
    <w:rsid w:val="008A4743"/>
    <w:rsid w:val="00B114CF"/>
    <w:rsid w:val="00C3166C"/>
    <w:rsid w:val="00F2762E"/>
    <w:rsid w:val="00F637E8"/>
    <w:rsid w:val="00FB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6DE8"/>
  <w15:chartTrackingRefBased/>
  <w15:docId w15:val="{7DB594E0-C297-1744-9D19-960E051E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66C"/>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C3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2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Rother</dc:creator>
  <cp:keywords/>
  <dc:description/>
  <cp:lastModifiedBy>Roger Templeton</cp:lastModifiedBy>
  <cp:revision>2</cp:revision>
  <dcterms:created xsi:type="dcterms:W3CDTF">2024-07-29T00:57:00Z</dcterms:created>
  <dcterms:modified xsi:type="dcterms:W3CDTF">2024-07-29T00:57:00Z</dcterms:modified>
</cp:coreProperties>
</file>